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4995" w14:textId="7B87A87B" w:rsidR="00ED398B" w:rsidRPr="007F2C4D" w:rsidRDefault="00ED398B" w:rsidP="002270DB">
      <w:pPr>
        <w:pStyle w:val="NormalWeb"/>
        <w:rPr>
          <w:rFonts w:ascii="Verdana" w:hAnsi="Verdana"/>
          <w:b/>
          <w:bCs/>
          <w:color w:val="000000"/>
          <w:sz w:val="18"/>
          <w:szCs w:val="18"/>
          <w:u w:val="single"/>
        </w:rPr>
      </w:pPr>
      <w:r w:rsidRPr="007F2C4D">
        <w:rPr>
          <w:rFonts w:ascii="Verdana" w:hAnsi="Verdana"/>
          <w:b/>
          <w:bCs/>
          <w:color w:val="000000"/>
          <w:sz w:val="18"/>
          <w:szCs w:val="18"/>
          <w:u w:val="single"/>
        </w:rPr>
        <w:t>For the</w:t>
      </w:r>
      <w:r w:rsidR="008E1D4E" w:rsidRPr="007F2C4D">
        <w:rPr>
          <w:rFonts w:ascii="Verdana" w:hAnsi="Verdana"/>
          <w:b/>
          <w:bCs/>
          <w:color w:val="000000"/>
          <w:sz w:val="18"/>
          <w:szCs w:val="18"/>
          <w:u w:val="single"/>
        </w:rPr>
        <w:t xml:space="preserve"> urgent</w:t>
      </w:r>
      <w:r w:rsidRPr="007F2C4D">
        <w:rPr>
          <w:rFonts w:ascii="Verdana" w:hAnsi="Verdana"/>
          <w:b/>
          <w:bCs/>
          <w:color w:val="000000"/>
          <w:sz w:val="18"/>
          <w:szCs w:val="18"/>
          <w:u w:val="single"/>
        </w:rPr>
        <w:t xml:space="preserve"> attention of the Bank Manager:</w:t>
      </w:r>
    </w:p>
    <w:p w14:paraId="3BBBFCD1" w14:textId="6DD2747F" w:rsidR="00A45FD6" w:rsidRDefault="002270DB" w:rsidP="00A45FD6">
      <w:pPr>
        <w:pStyle w:val="NormalWeb"/>
        <w:rPr>
          <w:rFonts w:ascii="Verdana" w:hAnsi="Verdana"/>
          <w:color w:val="000000"/>
          <w:sz w:val="18"/>
          <w:szCs w:val="18"/>
        </w:rPr>
      </w:pPr>
      <w:r>
        <w:rPr>
          <w:rFonts w:ascii="Verdana" w:hAnsi="Verdana"/>
          <w:color w:val="000000"/>
          <w:sz w:val="18"/>
          <w:szCs w:val="18"/>
        </w:rPr>
        <w:t xml:space="preserve">As a </w:t>
      </w:r>
      <w:r w:rsidR="0056369E">
        <w:rPr>
          <w:rFonts w:ascii="Verdana" w:hAnsi="Verdana"/>
          <w:color w:val="000000"/>
          <w:sz w:val="18"/>
          <w:szCs w:val="18"/>
        </w:rPr>
        <w:t xml:space="preserve">current </w:t>
      </w:r>
      <w:r>
        <w:rPr>
          <w:rFonts w:ascii="Verdana" w:hAnsi="Verdana"/>
          <w:color w:val="000000"/>
          <w:sz w:val="18"/>
          <w:szCs w:val="18"/>
        </w:rPr>
        <w:t>Barclays customer</w:t>
      </w:r>
      <w:r w:rsidR="0056369E">
        <w:rPr>
          <w:rFonts w:ascii="Verdana" w:hAnsi="Verdana"/>
          <w:color w:val="000000"/>
          <w:sz w:val="18"/>
          <w:szCs w:val="18"/>
        </w:rPr>
        <w:t>,</w:t>
      </w:r>
      <w:r w:rsidR="007F2C4D">
        <w:rPr>
          <w:rFonts w:ascii="Verdana" w:hAnsi="Verdana"/>
          <w:color w:val="000000"/>
          <w:sz w:val="18"/>
          <w:szCs w:val="18"/>
        </w:rPr>
        <w:t xml:space="preserve"> </w:t>
      </w:r>
      <w:r>
        <w:rPr>
          <w:rFonts w:ascii="Verdana" w:hAnsi="Verdana"/>
          <w:color w:val="000000"/>
          <w:sz w:val="18"/>
          <w:szCs w:val="18"/>
        </w:rPr>
        <w:t xml:space="preserve">I am extremely concerned by </w:t>
      </w:r>
      <w:hyperlink r:id="rId7" w:history="1">
        <w:r w:rsidRPr="00931C2A">
          <w:rPr>
            <w:rStyle w:val="Hyperlink"/>
            <w:rFonts w:ascii="Verdana" w:hAnsi="Verdana"/>
            <w:sz w:val="18"/>
            <w:szCs w:val="18"/>
          </w:rPr>
          <w:t>research</w:t>
        </w:r>
      </w:hyperlink>
      <w:r>
        <w:rPr>
          <w:rFonts w:ascii="Verdana" w:hAnsi="Verdana"/>
          <w:color w:val="000000"/>
          <w:sz w:val="18"/>
          <w:szCs w:val="18"/>
        </w:rPr>
        <w:t xml:space="preserve"> that has identified that Barclays invests over £1</w:t>
      </w:r>
      <w:r w:rsidR="000B7F46">
        <w:rPr>
          <w:rFonts w:ascii="Verdana" w:hAnsi="Verdana"/>
          <w:color w:val="000000"/>
          <w:sz w:val="18"/>
          <w:szCs w:val="18"/>
        </w:rPr>
        <w:t xml:space="preserve">billion </w:t>
      </w:r>
      <w:r>
        <w:rPr>
          <w:rFonts w:ascii="Verdana" w:hAnsi="Verdana"/>
          <w:color w:val="000000"/>
          <w:sz w:val="18"/>
          <w:szCs w:val="18"/>
        </w:rPr>
        <w:t xml:space="preserve">in, and provides over </w:t>
      </w:r>
      <w:r w:rsidRPr="002270DB">
        <w:rPr>
          <w:rFonts w:ascii="Verdana" w:hAnsi="Verdana"/>
          <w:color w:val="000000"/>
          <w:sz w:val="18"/>
          <w:szCs w:val="18"/>
        </w:rPr>
        <w:t>£3 billion in loans and underwriting to</w:t>
      </w:r>
      <w:r>
        <w:rPr>
          <w:rFonts w:ascii="Verdana" w:hAnsi="Verdana"/>
          <w:color w:val="000000"/>
          <w:sz w:val="18"/>
          <w:szCs w:val="18"/>
        </w:rPr>
        <w:t>,</w:t>
      </w:r>
      <w:r w:rsidRPr="002270DB">
        <w:rPr>
          <w:rFonts w:ascii="Verdana" w:hAnsi="Verdana"/>
          <w:color w:val="000000"/>
          <w:sz w:val="18"/>
          <w:szCs w:val="18"/>
        </w:rPr>
        <w:t xml:space="preserve"> </w:t>
      </w:r>
      <w:r w:rsidR="00AB575A">
        <w:rPr>
          <w:rFonts w:ascii="Verdana" w:hAnsi="Verdana"/>
          <w:color w:val="000000"/>
          <w:sz w:val="18"/>
          <w:szCs w:val="18"/>
        </w:rPr>
        <w:t xml:space="preserve">nine </w:t>
      </w:r>
      <w:r w:rsidRPr="002270DB">
        <w:rPr>
          <w:rFonts w:ascii="Verdana" w:hAnsi="Verdana"/>
          <w:color w:val="000000"/>
          <w:sz w:val="18"/>
          <w:szCs w:val="18"/>
        </w:rPr>
        <w:t>companies whose weapons, components and military technology have been used in Israel’s armed violence against Palestinians.</w:t>
      </w:r>
      <w:r>
        <w:rPr>
          <w:rFonts w:ascii="Verdana" w:hAnsi="Verdana"/>
          <w:color w:val="000000"/>
          <w:sz w:val="18"/>
          <w:szCs w:val="18"/>
        </w:rPr>
        <w:t xml:space="preserve"> </w:t>
      </w:r>
      <w:r w:rsidRPr="002270DB">
        <w:rPr>
          <w:rFonts w:ascii="Verdana" w:hAnsi="Verdana"/>
          <w:color w:val="000000"/>
          <w:sz w:val="18"/>
          <w:szCs w:val="18"/>
        </w:rPr>
        <w:t xml:space="preserve">By providing investment and financial services to these arms companies, </w:t>
      </w:r>
      <w:r>
        <w:rPr>
          <w:rFonts w:ascii="Verdana" w:hAnsi="Verdana"/>
          <w:color w:val="000000"/>
          <w:sz w:val="18"/>
          <w:szCs w:val="18"/>
        </w:rPr>
        <w:t>Barclays is facilitating, and profiting from,</w:t>
      </w:r>
      <w:r w:rsidRPr="002270DB">
        <w:rPr>
          <w:rFonts w:ascii="Verdana" w:hAnsi="Verdana"/>
          <w:color w:val="000000"/>
          <w:sz w:val="18"/>
          <w:szCs w:val="18"/>
        </w:rPr>
        <w:t xml:space="preserve"> Israel’s militarised repression of Palestinians</w:t>
      </w:r>
      <w:r w:rsidR="00233692">
        <w:rPr>
          <w:rFonts w:ascii="Verdana" w:hAnsi="Verdana"/>
          <w:color w:val="000000"/>
          <w:sz w:val="18"/>
          <w:szCs w:val="18"/>
        </w:rPr>
        <w:t xml:space="preserve">, </w:t>
      </w:r>
      <w:r w:rsidR="00A45FD6">
        <w:rPr>
          <w:rFonts w:ascii="Verdana" w:hAnsi="Verdana"/>
          <w:color w:val="000000"/>
          <w:sz w:val="18"/>
          <w:szCs w:val="18"/>
        </w:rPr>
        <w:t>which sustains its apartheid rule over Palestinians.</w:t>
      </w:r>
    </w:p>
    <w:p w14:paraId="35DEAEC6" w14:textId="001CF3C4" w:rsidR="00A45FD6" w:rsidRDefault="00A45FD6" w:rsidP="00A45FD6">
      <w:pPr>
        <w:pStyle w:val="NormalWeb"/>
        <w:rPr>
          <w:rFonts w:ascii="Verdana" w:hAnsi="Verdana"/>
          <w:b/>
          <w:bCs/>
          <w:color w:val="000000"/>
          <w:sz w:val="18"/>
          <w:szCs w:val="18"/>
        </w:rPr>
      </w:pPr>
      <w:r>
        <w:rPr>
          <w:rFonts w:ascii="Verdana" w:hAnsi="Verdana"/>
          <w:b/>
          <w:bCs/>
          <w:color w:val="000000"/>
          <w:sz w:val="18"/>
          <w:szCs w:val="18"/>
        </w:rPr>
        <w:t xml:space="preserve">I am therefore demanding that Barclays publicly commits to end all business relationships with the </w:t>
      </w:r>
      <w:r w:rsidR="007A623A">
        <w:rPr>
          <w:rFonts w:ascii="Verdana" w:hAnsi="Verdana"/>
          <w:b/>
          <w:bCs/>
          <w:color w:val="000000"/>
          <w:sz w:val="18"/>
          <w:szCs w:val="18"/>
        </w:rPr>
        <w:t>nine</w:t>
      </w:r>
      <w:r>
        <w:rPr>
          <w:rFonts w:ascii="Verdana" w:hAnsi="Verdana"/>
          <w:b/>
          <w:bCs/>
          <w:color w:val="000000"/>
          <w:sz w:val="18"/>
          <w:szCs w:val="18"/>
        </w:rPr>
        <w:t xml:space="preserve"> companies identified in the report, to avoid further complicity in Israel’s violations of international law and Palestinian rights. </w:t>
      </w:r>
    </w:p>
    <w:p w14:paraId="3AE3BB65" w14:textId="09EC3952"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One of the </w:t>
      </w:r>
      <w:r w:rsidR="007A623A">
        <w:rPr>
          <w:rFonts w:ascii="Verdana" w:hAnsi="Verdana"/>
          <w:color w:val="000000"/>
          <w:sz w:val="18"/>
          <w:szCs w:val="18"/>
        </w:rPr>
        <w:t xml:space="preserve">nine </w:t>
      </w:r>
      <w:r>
        <w:rPr>
          <w:rFonts w:ascii="Verdana" w:hAnsi="Verdana"/>
          <w:color w:val="000000"/>
          <w:sz w:val="18"/>
          <w:szCs w:val="18"/>
        </w:rPr>
        <w:t xml:space="preserve">companies identified is Elbit Systems. It supplies </w:t>
      </w:r>
      <w:r w:rsidRPr="00B3205A">
        <w:rPr>
          <w:rFonts w:ascii="Verdana" w:hAnsi="Verdana"/>
          <w:color w:val="000000"/>
          <w:sz w:val="18"/>
          <w:szCs w:val="18"/>
        </w:rPr>
        <w:t>85% of UAV</w:t>
      </w:r>
      <w:r>
        <w:rPr>
          <w:rFonts w:ascii="Verdana" w:hAnsi="Verdana"/>
          <w:color w:val="000000"/>
          <w:sz w:val="18"/>
          <w:szCs w:val="18"/>
        </w:rPr>
        <w:t>’</w:t>
      </w:r>
      <w:r w:rsidRPr="00B3205A">
        <w:rPr>
          <w:rFonts w:ascii="Verdana" w:hAnsi="Verdana"/>
          <w:color w:val="000000"/>
          <w:sz w:val="18"/>
          <w:szCs w:val="18"/>
        </w:rPr>
        <w:t>s</w:t>
      </w:r>
      <w:r>
        <w:rPr>
          <w:rFonts w:ascii="Verdana" w:hAnsi="Verdana"/>
          <w:color w:val="000000"/>
          <w:sz w:val="18"/>
          <w:szCs w:val="18"/>
        </w:rPr>
        <w:t xml:space="preserve"> (drones)</w:t>
      </w:r>
      <w:r w:rsidRPr="00B3205A">
        <w:rPr>
          <w:rFonts w:ascii="Verdana" w:hAnsi="Verdana"/>
          <w:color w:val="000000"/>
          <w:sz w:val="18"/>
          <w:szCs w:val="18"/>
        </w:rPr>
        <w:t xml:space="preserve"> used by the Israeli army. During Israel’s deadly bombardment and ground invasion of the </w:t>
      </w:r>
      <w:r>
        <w:rPr>
          <w:rFonts w:ascii="Verdana" w:hAnsi="Verdana"/>
          <w:color w:val="000000"/>
          <w:sz w:val="18"/>
          <w:szCs w:val="18"/>
        </w:rPr>
        <w:t xml:space="preserve">besieged </w:t>
      </w:r>
      <w:r w:rsidRPr="00B3205A">
        <w:rPr>
          <w:rFonts w:ascii="Verdana" w:hAnsi="Verdana"/>
          <w:color w:val="000000"/>
          <w:sz w:val="18"/>
          <w:szCs w:val="18"/>
        </w:rPr>
        <w:t>Gaza Strip in 2014, a range of Elbit Systems produced weaponry</w:t>
      </w:r>
      <w:r>
        <w:rPr>
          <w:rFonts w:ascii="Verdana" w:hAnsi="Verdana"/>
          <w:color w:val="000000"/>
          <w:sz w:val="18"/>
          <w:szCs w:val="18"/>
        </w:rPr>
        <w:t>, including drones,</w:t>
      </w:r>
      <w:r w:rsidRPr="00B3205A">
        <w:rPr>
          <w:rFonts w:ascii="Verdana" w:hAnsi="Verdana"/>
          <w:color w:val="000000"/>
          <w:sz w:val="18"/>
          <w:szCs w:val="18"/>
        </w:rPr>
        <w:t xml:space="preserve"> </w:t>
      </w:r>
      <w:r w:rsidRPr="00E638A2">
        <w:rPr>
          <w:rFonts w:ascii="Verdana" w:hAnsi="Verdana"/>
          <w:sz w:val="18"/>
          <w:szCs w:val="18"/>
        </w:rPr>
        <w:t>was used by Israel.</w:t>
      </w:r>
      <w:r w:rsidRPr="00626BC1">
        <w:t xml:space="preserve"> </w:t>
      </w:r>
      <w:r>
        <w:rPr>
          <w:rFonts w:ascii="Verdana" w:hAnsi="Verdana"/>
          <w:color w:val="000000"/>
          <w:sz w:val="18"/>
          <w:szCs w:val="18"/>
        </w:rPr>
        <w:t>The 51</w:t>
      </w:r>
      <w:r w:rsidR="00233692">
        <w:rPr>
          <w:rFonts w:ascii="Verdana" w:hAnsi="Verdana"/>
          <w:color w:val="000000"/>
          <w:sz w:val="18"/>
          <w:szCs w:val="18"/>
        </w:rPr>
        <w:t>-</w:t>
      </w:r>
      <w:r>
        <w:rPr>
          <w:rFonts w:ascii="Verdana" w:hAnsi="Verdana"/>
          <w:color w:val="000000"/>
          <w:sz w:val="18"/>
          <w:szCs w:val="18"/>
        </w:rPr>
        <w:t xml:space="preserve">day attack </w:t>
      </w:r>
      <w:r w:rsidRPr="00E638A2">
        <w:rPr>
          <w:rFonts w:ascii="Verdana" w:hAnsi="Verdana"/>
          <w:sz w:val="18"/>
          <w:szCs w:val="18"/>
        </w:rPr>
        <w:t>killed over</w:t>
      </w:r>
      <w:r>
        <w:rPr>
          <w:rFonts w:ascii="Verdana" w:hAnsi="Verdana"/>
          <w:color w:val="000000"/>
          <w:sz w:val="18"/>
          <w:szCs w:val="18"/>
        </w:rPr>
        <w:t xml:space="preserve"> 2,200 Palestinians, 551 of them children. Elbit Systems’ components are also found in Israel’s F-16 and F-35 fighter jets, used in repeated attacks on the Gaza Strip.</w:t>
      </w:r>
      <w:r w:rsidR="00DA5B21">
        <w:rPr>
          <w:rFonts w:ascii="Verdana" w:hAnsi="Verdana"/>
          <w:color w:val="000000"/>
          <w:sz w:val="18"/>
          <w:szCs w:val="18"/>
        </w:rPr>
        <w:t xml:space="preserve"> </w:t>
      </w:r>
      <w:r>
        <w:rPr>
          <w:rFonts w:ascii="Verdana" w:hAnsi="Verdana"/>
          <w:color w:val="000000"/>
          <w:sz w:val="18"/>
          <w:szCs w:val="18"/>
        </w:rPr>
        <w:t xml:space="preserve">In addition, Elbit Systems is also associated with the production of cluster munitions, which are banned under international law. </w:t>
      </w:r>
    </w:p>
    <w:p w14:paraId="4D98E6E2" w14:textId="32D48FB4"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Because of </w:t>
      </w:r>
      <w:r w:rsidR="00233692">
        <w:rPr>
          <w:rFonts w:ascii="Verdana" w:hAnsi="Verdana"/>
          <w:color w:val="000000"/>
          <w:sz w:val="18"/>
          <w:szCs w:val="18"/>
        </w:rPr>
        <w:t xml:space="preserve">its </w:t>
      </w:r>
      <w:r>
        <w:rPr>
          <w:rFonts w:ascii="Verdana" w:hAnsi="Verdana"/>
          <w:color w:val="000000"/>
          <w:sz w:val="18"/>
          <w:szCs w:val="18"/>
        </w:rPr>
        <w:t xml:space="preserve">involvement in the production of weaponry used in human rights abuses other financial institutions have severed ties with Elbit Systems. </w:t>
      </w:r>
      <w:r w:rsidRPr="00B3205A">
        <w:rPr>
          <w:rFonts w:ascii="Verdana" w:hAnsi="Verdana"/>
          <w:color w:val="000000"/>
          <w:sz w:val="18"/>
          <w:szCs w:val="18"/>
        </w:rPr>
        <w:t xml:space="preserve">In November 2019, KLP, Norway’s largest pension scheme, published a </w:t>
      </w:r>
      <w:r w:rsidRPr="00E638A2">
        <w:rPr>
          <w:rFonts w:ascii="Verdana" w:hAnsi="Verdana"/>
          <w:sz w:val="18"/>
          <w:szCs w:val="18"/>
        </w:rPr>
        <w:t>position paper</w:t>
      </w:r>
      <w:r w:rsidRPr="00B3205A">
        <w:rPr>
          <w:rFonts w:ascii="Verdana" w:hAnsi="Verdana"/>
          <w:color w:val="000000"/>
          <w:sz w:val="18"/>
          <w:szCs w:val="18"/>
        </w:rPr>
        <w:t xml:space="preserve"> outlining that Elbit Systems was excluded from its portfolio, stating that “it is clear that the company produces cluster munitions.</w:t>
      </w:r>
      <w:r>
        <w:rPr>
          <w:rFonts w:ascii="Verdana" w:hAnsi="Verdana"/>
          <w:color w:val="000000"/>
          <w:sz w:val="18"/>
          <w:szCs w:val="18"/>
        </w:rPr>
        <w:t>”</w:t>
      </w:r>
      <w:r w:rsidRPr="00B3205A">
        <w:rPr>
          <w:rFonts w:ascii="Verdana" w:hAnsi="Verdana"/>
          <w:color w:val="000000"/>
          <w:sz w:val="18"/>
          <w:szCs w:val="18"/>
        </w:rPr>
        <w:t xml:space="preserve"> Moreover, in January 2022, Australia’s Future Fund </w:t>
      </w:r>
      <w:r w:rsidRPr="00E638A2">
        <w:rPr>
          <w:rFonts w:ascii="Verdana" w:hAnsi="Verdana"/>
          <w:sz w:val="18"/>
          <w:szCs w:val="18"/>
        </w:rPr>
        <w:t>banned investment</w:t>
      </w:r>
      <w:r w:rsidRPr="00B3205A">
        <w:rPr>
          <w:rFonts w:ascii="Verdana" w:hAnsi="Verdana"/>
          <w:color w:val="000000"/>
          <w:sz w:val="18"/>
          <w:szCs w:val="18"/>
        </w:rPr>
        <w:t xml:space="preserve"> in Elbit Systems due to its involvement in the production of cluster munitions, and other weaponry used in violations of international law.</w:t>
      </w:r>
    </w:p>
    <w:p w14:paraId="7DDE5A18" w14:textId="1F99C389"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Elbit Systems is just </w:t>
      </w:r>
      <w:r w:rsidR="00EF7DB8">
        <w:rPr>
          <w:rFonts w:ascii="Verdana" w:hAnsi="Verdana"/>
          <w:color w:val="000000"/>
          <w:sz w:val="18"/>
          <w:szCs w:val="18"/>
        </w:rPr>
        <w:t>one</w:t>
      </w:r>
      <w:r>
        <w:rPr>
          <w:rFonts w:ascii="Verdana" w:hAnsi="Verdana"/>
          <w:color w:val="000000"/>
          <w:sz w:val="18"/>
          <w:szCs w:val="18"/>
        </w:rPr>
        <w:t xml:space="preserve"> of </w:t>
      </w:r>
      <w:r w:rsidR="00EF7DB8">
        <w:rPr>
          <w:rFonts w:ascii="Verdana" w:hAnsi="Verdana"/>
          <w:color w:val="000000"/>
          <w:sz w:val="18"/>
          <w:szCs w:val="18"/>
        </w:rPr>
        <w:t xml:space="preserve">nine </w:t>
      </w:r>
      <w:r>
        <w:rPr>
          <w:rFonts w:ascii="Verdana" w:hAnsi="Verdana"/>
          <w:color w:val="000000"/>
          <w:sz w:val="18"/>
          <w:szCs w:val="18"/>
        </w:rPr>
        <w:t xml:space="preserve">companies identified in the research. Barclays also invests in </w:t>
      </w:r>
      <w:r w:rsidRPr="00E638A2">
        <w:rPr>
          <w:rFonts w:ascii="Verdana" w:hAnsi="Verdana"/>
          <w:sz w:val="18"/>
          <w:szCs w:val="18"/>
        </w:rPr>
        <w:t>General Dynamics</w:t>
      </w:r>
      <w:r>
        <w:rPr>
          <w:rFonts w:ascii="Verdana" w:hAnsi="Verdana"/>
          <w:color w:val="000000"/>
          <w:sz w:val="18"/>
          <w:szCs w:val="18"/>
        </w:rPr>
        <w:t xml:space="preserve">, which provides gun systems to fighter jets used by Israel in its deadly bombardment of the Gaza Strip, and </w:t>
      </w:r>
      <w:r w:rsidRPr="00E638A2">
        <w:rPr>
          <w:rFonts w:ascii="Verdana" w:hAnsi="Verdana"/>
          <w:sz w:val="18"/>
          <w:szCs w:val="18"/>
        </w:rPr>
        <w:t>Caterpillar</w:t>
      </w:r>
      <w:r>
        <w:rPr>
          <w:rFonts w:ascii="Verdana" w:hAnsi="Verdana"/>
          <w:color w:val="000000"/>
          <w:sz w:val="18"/>
          <w:szCs w:val="18"/>
        </w:rPr>
        <w:t>, which provides Israel with bulldozers which are weaponised and used to demolish Palestinian homes, schools, and other civilian infrastructure in violation of international law.</w:t>
      </w:r>
    </w:p>
    <w:p w14:paraId="56333D6F" w14:textId="50CC3FE4" w:rsidR="00A45FD6" w:rsidRDefault="00B27BD5" w:rsidP="00A45FD6">
      <w:pPr>
        <w:pStyle w:val="NormalWeb"/>
        <w:rPr>
          <w:rFonts w:ascii="Verdana" w:hAnsi="Verdana"/>
          <w:color w:val="000000"/>
          <w:sz w:val="18"/>
          <w:szCs w:val="18"/>
        </w:rPr>
      </w:pPr>
      <w:r>
        <w:rPr>
          <w:rStyle w:val="normaltextrun"/>
          <w:rFonts w:ascii="Verdana" w:hAnsi="Verdana"/>
          <w:color w:val="000000"/>
          <w:sz w:val="18"/>
          <w:szCs w:val="18"/>
          <w:shd w:val="clear" w:color="auto" w:fill="FFFFFF"/>
        </w:rPr>
        <w:t>Barclays has a responsibility to take steps to ensure that it is not involved in violations of international law</w:t>
      </w:r>
      <w:r w:rsidR="00A45FD6">
        <w:rPr>
          <w:rFonts w:ascii="Verdana" w:hAnsi="Verdana"/>
          <w:color w:val="000000"/>
          <w:sz w:val="18"/>
          <w:szCs w:val="18"/>
        </w:rPr>
        <w:t xml:space="preserve">. The </w:t>
      </w:r>
      <w:hyperlink r:id="rId8" w:history="1">
        <w:r w:rsidR="00A45FD6" w:rsidRPr="00B37F93">
          <w:rPr>
            <w:rStyle w:val="Hyperlink"/>
            <w:rFonts w:ascii="Verdana" w:hAnsi="Verdana"/>
            <w:sz w:val="18"/>
            <w:szCs w:val="18"/>
          </w:rPr>
          <w:t>UN Guiding Principles of Business and Human Rights</w:t>
        </w:r>
      </w:hyperlink>
      <w:r w:rsidR="00A45FD6">
        <w:rPr>
          <w:rFonts w:ascii="Verdana" w:hAnsi="Verdana"/>
          <w:color w:val="000000"/>
          <w:sz w:val="18"/>
          <w:szCs w:val="18"/>
        </w:rPr>
        <w:t xml:space="preserve"> are clear that businesses and financial institutions must take active steps to “</w:t>
      </w:r>
      <w:r w:rsidR="00A45FD6" w:rsidRPr="003033AF">
        <w:rPr>
          <w:rFonts w:ascii="Verdana" w:hAnsi="Verdana"/>
          <w:color w:val="000000"/>
          <w:sz w:val="18"/>
          <w:szCs w:val="18"/>
        </w:rPr>
        <w:t>avoid causing or contributing to adverse human rights impacts</w:t>
      </w:r>
      <w:r w:rsidR="00A45FD6">
        <w:rPr>
          <w:rFonts w:ascii="Verdana" w:hAnsi="Verdana"/>
          <w:color w:val="000000"/>
          <w:sz w:val="18"/>
          <w:szCs w:val="18"/>
        </w:rPr>
        <w:t>” through both their direct activity, and business relationships.</w:t>
      </w:r>
    </w:p>
    <w:p w14:paraId="06C8A8C3" w14:textId="3092D6C7"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In the Barclays Group’s own </w:t>
      </w:r>
      <w:hyperlink r:id="rId9" w:history="1">
        <w:r w:rsidRPr="00B37F93">
          <w:rPr>
            <w:rStyle w:val="Hyperlink"/>
            <w:rFonts w:ascii="Verdana" w:hAnsi="Verdana"/>
            <w:sz w:val="18"/>
            <w:szCs w:val="18"/>
          </w:rPr>
          <w:t>human rights statement</w:t>
        </w:r>
      </w:hyperlink>
      <w:r w:rsidRPr="00B3205A">
        <w:rPr>
          <w:rFonts w:ascii="Verdana" w:hAnsi="Verdana"/>
          <w:color w:val="000000"/>
          <w:sz w:val="18"/>
          <w:szCs w:val="18"/>
        </w:rPr>
        <w:t xml:space="preserve">, </w:t>
      </w:r>
      <w:r>
        <w:rPr>
          <w:rFonts w:ascii="Verdana" w:hAnsi="Verdana"/>
          <w:color w:val="000000"/>
          <w:sz w:val="18"/>
          <w:szCs w:val="18"/>
        </w:rPr>
        <w:t>Barclays commits to</w:t>
      </w:r>
      <w:r w:rsidRPr="00B3205A">
        <w:rPr>
          <w:rFonts w:ascii="Verdana" w:hAnsi="Verdana"/>
          <w:color w:val="000000"/>
          <w:sz w:val="18"/>
          <w:szCs w:val="18"/>
        </w:rPr>
        <w:t xml:space="preserve"> “not participate in the condoning of human rights violations” and to be a “positive role model through the conduct of our business globally.”</w:t>
      </w:r>
      <w:r w:rsidR="00233692">
        <w:rPr>
          <w:rFonts w:ascii="Verdana" w:hAnsi="Verdana"/>
          <w:color w:val="000000"/>
          <w:sz w:val="18"/>
          <w:szCs w:val="18"/>
        </w:rPr>
        <w:t xml:space="preserve"> </w:t>
      </w:r>
      <w:r w:rsidRPr="00B3205A">
        <w:rPr>
          <w:rFonts w:ascii="Verdana" w:hAnsi="Verdana"/>
          <w:color w:val="000000"/>
          <w:sz w:val="18"/>
          <w:szCs w:val="18"/>
        </w:rPr>
        <w:t xml:space="preserve">Moreover, in its </w:t>
      </w:r>
      <w:hyperlink r:id="rId10" w:history="1">
        <w:r w:rsidRPr="00B37F93">
          <w:rPr>
            <w:rStyle w:val="Hyperlink"/>
            <w:rFonts w:ascii="Verdana" w:hAnsi="Verdana"/>
            <w:sz w:val="18"/>
            <w:szCs w:val="18"/>
          </w:rPr>
          <w:t>Defence Sector Policy</w:t>
        </w:r>
      </w:hyperlink>
      <w:r w:rsidRPr="00B3205A">
        <w:rPr>
          <w:rFonts w:ascii="Verdana" w:hAnsi="Verdana"/>
          <w:color w:val="000000"/>
          <w:sz w:val="18"/>
          <w:szCs w:val="18"/>
        </w:rPr>
        <w:t>, Barclays claim that it aims to ensure that defence exports it finances are not used to “support unjustified external aggression.”</w:t>
      </w:r>
    </w:p>
    <w:p w14:paraId="5AFF07B8" w14:textId="157F1713"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In order to comply with Barclays own policies it must end investment in, and provision of financial services to, all companies supplying weapons and military technology used in Israel’s armed violence against Palestinians. </w:t>
      </w:r>
    </w:p>
    <w:p w14:paraId="6ED1EFC2" w14:textId="12F73C44" w:rsidR="00626BC1" w:rsidRDefault="00E638A2" w:rsidP="00B3205A">
      <w:pPr>
        <w:pStyle w:val="NormalWeb"/>
        <w:rPr>
          <w:rFonts w:ascii="Verdana" w:hAnsi="Verdana"/>
          <w:color w:val="000000"/>
          <w:sz w:val="18"/>
          <w:szCs w:val="18"/>
        </w:rPr>
      </w:pPr>
      <w:r>
        <w:rPr>
          <w:rStyle w:val="normaltextrun"/>
          <w:rFonts w:ascii="Verdana" w:hAnsi="Verdana"/>
          <w:color w:val="000000"/>
          <w:sz w:val="18"/>
          <w:szCs w:val="18"/>
          <w:shd w:val="clear" w:color="auto" w:fill="FFFFFF"/>
        </w:rPr>
        <w:t>I expect Barclays to issue a public statement detailing what actions it will take to end its complicity in violence and illegality.</w:t>
      </w:r>
      <w:r w:rsidR="00DA5B21">
        <w:rPr>
          <w:rStyle w:val="normaltextrun"/>
          <w:rFonts w:ascii="Verdana" w:hAnsi="Verdana"/>
          <w:color w:val="000000"/>
          <w:sz w:val="18"/>
          <w:szCs w:val="18"/>
          <w:shd w:val="clear" w:color="auto" w:fill="FFFFFF"/>
        </w:rPr>
        <w:t xml:space="preserve"> </w:t>
      </w:r>
      <w:r w:rsidR="00083BFF">
        <w:rPr>
          <w:rFonts w:ascii="Verdana" w:hAnsi="Verdana"/>
          <w:color w:val="000000"/>
          <w:sz w:val="18"/>
          <w:szCs w:val="18"/>
        </w:rPr>
        <w:t>F</w:t>
      </w:r>
      <w:r w:rsidR="00626BC1">
        <w:rPr>
          <w:rFonts w:ascii="Verdana" w:hAnsi="Verdana"/>
          <w:color w:val="000000"/>
          <w:sz w:val="18"/>
          <w:szCs w:val="18"/>
        </w:rPr>
        <w:t>ailure to do so will lead me to reconsider my use of Barclays services.</w:t>
      </w:r>
    </w:p>
    <w:p w14:paraId="4D0A3A9F" w14:textId="1E577859" w:rsidR="00626BC1" w:rsidRDefault="00626BC1" w:rsidP="00B3205A">
      <w:pPr>
        <w:pStyle w:val="NormalWeb"/>
        <w:rPr>
          <w:rFonts w:ascii="Verdana" w:hAnsi="Verdana"/>
          <w:color w:val="000000"/>
          <w:sz w:val="18"/>
          <w:szCs w:val="18"/>
        </w:rPr>
      </w:pPr>
      <w:r>
        <w:rPr>
          <w:rFonts w:ascii="Verdana" w:hAnsi="Verdana"/>
          <w:color w:val="000000"/>
          <w:sz w:val="18"/>
          <w:szCs w:val="18"/>
        </w:rPr>
        <w:t>Yours sincerely,</w:t>
      </w:r>
    </w:p>
    <w:p w14:paraId="1CB0C1BB" w14:textId="0C4657C7" w:rsidR="008E1D4E" w:rsidRPr="00B3205A" w:rsidRDefault="008E1D4E" w:rsidP="00B3205A">
      <w:pPr>
        <w:pStyle w:val="NormalWeb"/>
        <w:rPr>
          <w:rFonts w:ascii="Verdana" w:hAnsi="Verdana"/>
          <w:color w:val="000000"/>
          <w:sz w:val="18"/>
          <w:szCs w:val="18"/>
        </w:rPr>
      </w:pPr>
    </w:p>
    <w:sectPr w:rsidR="008E1D4E" w:rsidRPr="00B320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6852" w14:textId="77777777" w:rsidR="00ED398B" w:rsidRDefault="00ED398B" w:rsidP="00ED398B">
      <w:pPr>
        <w:spacing w:after="0" w:line="240" w:lineRule="auto"/>
      </w:pPr>
      <w:r>
        <w:separator/>
      </w:r>
    </w:p>
  </w:endnote>
  <w:endnote w:type="continuationSeparator" w:id="0">
    <w:p w14:paraId="366E4E4C" w14:textId="77777777" w:rsidR="00ED398B" w:rsidRDefault="00ED398B" w:rsidP="00ED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EC67" w14:textId="77777777" w:rsidR="00ED398B" w:rsidRDefault="00ED398B" w:rsidP="00ED398B">
      <w:pPr>
        <w:spacing w:after="0" w:line="240" w:lineRule="auto"/>
      </w:pPr>
      <w:r>
        <w:separator/>
      </w:r>
    </w:p>
  </w:footnote>
  <w:footnote w:type="continuationSeparator" w:id="0">
    <w:p w14:paraId="11F84A3E" w14:textId="77777777" w:rsidR="00ED398B" w:rsidRDefault="00ED398B" w:rsidP="00ED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DB"/>
    <w:rsid w:val="00083BFF"/>
    <w:rsid w:val="000B7F46"/>
    <w:rsid w:val="002270DB"/>
    <w:rsid w:val="00233692"/>
    <w:rsid w:val="00292DC7"/>
    <w:rsid w:val="003033AF"/>
    <w:rsid w:val="003D529D"/>
    <w:rsid w:val="00450637"/>
    <w:rsid w:val="004D7DDF"/>
    <w:rsid w:val="0056369E"/>
    <w:rsid w:val="00616BAF"/>
    <w:rsid w:val="00626BC1"/>
    <w:rsid w:val="006727C4"/>
    <w:rsid w:val="007A623A"/>
    <w:rsid w:val="007F2C4D"/>
    <w:rsid w:val="008E1D4E"/>
    <w:rsid w:val="00931C2A"/>
    <w:rsid w:val="00A45FD6"/>
    <w:rsid w:val="00A53222"/>
    <w:rsid w:val="00AB575A"/>
    <w:rsid w:val="00B27BD5"/>
    <w:rsid w:val="00B3205A"/>
    <w:rsid w:val="00BE72AD"/>
    <w:rsid w:val="00DA5B21"/>
    <w:rsid w:val="00E638A2"/>
    <w:rsid w:val="00E86BBF"/>
    <w:rsid w:val="00ED398B"/>
    <w:rsid w:val="00EF66E1"/>
    <w:rsid w:val="00EF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F0C6"/>
  <w15:chartTrackingRefBased/>
  <w15:docId w15:val="{D41E295E-3FD8-48B2-AB1D-93EEE64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0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83BFF"/>
    <w:rPr>
      <w:color w:val="0563C1" w:themeColor="hyperlink"/>
      <w:u w:val="single"/>
    </w:rPr>
  </w:style>
  <w:style w:type="paragraph" w:styleId="Header">
    <w:name w:val="header"/>
    <w:basedOn w:val="Normal"/>
    <w:link w:val="HeaderChar"/>
    <w:uiPriority w:val="99"/>
    <w:unhideWhenUsed/>
    <w:rsid w:val="00ED3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98B"/>
  </w:style>
  <w:style w:type="paragraph" w:styleId="Footer">
    <w:name w:val="footer"/>
    <w:basedOn w:val="Normal"/>
    <w:link w:val="FooterChar"/>
    <w:uiPriority w:val="99"/>
    <w:unhideWhenUsed/>
    <w:rsid w:val="00ED3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98B"/>
  </w:style>
  <w:style w:type="paragraph" w:styleId="NoSpacing">
    <w:name w:val="No Spacing"/>
    <w:uiPriority w:val="1"/>
    <w:qFormat/>
    <w:rsid w:val="003D529D"/>
    <w:pPr>
      <w:spacing w:after="0" w:line="240" w:lineRule="auto"/>
    </w:pPr>
  </w:style>
  <w:style w:type="character" w:styleId="UnresolvedMention">
    <w:name w:val="Unresolved Mention"/>
    <w:basedOn w:val="DefaultParagraphFont"/>
    <w:uiPriority w:val="99"/>
    <w:semiHidden/>
    <w:unhideWhenUsed/>
    <w:rsid w:val="00931C2A"/>
    <w:rPr>
      <w:color w:val="605E5C"/>
      <w:shd w:val="clear" w:color="auto" w:fill="E1DFDD"/>
    </w:rPr>
  </w:style>
  <w:style w:type="character" w:customStyle="1" w:styleId="normaltextrun">
    <w:name w:val="normaltextrun"/>
    <w:basedOn w:val="DefaultParagraphFont"/>
    <w:rsid w:val="00E638A2"/>
  </w:style>
  <w:style w:type="character" w:customStyle="1" w:styleId="eop">
    <w:name w:val="eop"/>
    <w:basedOn w:val="DefaultParagraphFont"/>
    <w:rsid w:val="00E6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9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documents/publications/guidingprinciplesbusinesshr_en.pdf" TargetMode="External"/><Relationship Id="rId3" Type="http://schemas.openxmlformats.org/officeDocument/2006/relationships/settings" Target="settings.xml"/><Relationship Id="rId7" Type="http://schemas.openxmlformats.org/officeDocument/2006/relationships/hyperlink" Target="https://www.palestinecampaign.org/wp-content/uploads/Barclays-Arming-Apartheid-FINAL-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me.barclays/content/dam/home-barclays/documents/citizenship/our-reporting-and-policy-positions/policy-positions/Barclays-Statement-on-the-Defence-Sector.pdf" TargetMode="External"/><Relationship Id="rId4" Type="http://schemas.openxmlformats.org/officeDocument/2006/relationships/webSettings" Target="webSettings.xml"/><Relationship Id="rId9" Type="http://schemas.openxmlformats.org/officeDocument/2006/relationships/hyperlink" Target="https://home.barclays/content/dam/home-barclays/documents/citizenship/our-reporting-and-policy-positions/policy-positions/Barclays-Statement-on-Human-Right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6307-7DD1-4ABE-88B5-EFC2A8FB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Backon</dc:creator>
  <cp:keywords/>
  <dc:description/>
  <cp:lastModifiedBy>Lewis Backon</cp:lastModifiedBy>
  <cp:revision>2</cp:revision>
  <dcterms:created xsi:type="dcterms:W3CDTF">2022-11-24T10:58:00Z</dcterms:created>
  <dcterms:modified xsi:type="dcterms:W3CDTF">2022-11-24T10:58:00Z</dcterms:modified>
</cp:coreProperties>
</file>